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9B62AC">
        <w:rPr>
          <w:rFonts w:ascii="Arial" w:hAnsi="Arial" w:cs="Arial"/>
          <w:color w:val="000000"/>
          <w:sz w:val="22"/>
          <w:szCs w:val="18"/>
        </w:rPr>
        <w:t>Cinza Médio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B62AC">
        <w:rPr>
          <w:rFonts w:ascii="Arial" w:hAnsi="Arial" w:cs="Arial"/>
          <w:sz w:val="20"/>
          <w:szCs w:val="20"/>
        </w:rPr>
        <w:t>Cinza Médio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0A" w:rsidRDefault="00C5420A" w:rsidP="009F32CD">
      <w:r>
        <w:separator/>
      </w:r>
    </w:p>
  </w:endnote>
  <w:endnote w:type="continuationSeparator" w:id="0">
    <w:p w:rsidR="00C5420A" w:rsidRDefault="00C5420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0A" w:rsidRDefault="00C5420A" w:rsidP="009F32CD">
      <w:r>
        <w:separator/>
      </w:r>
    </w:p>
  </w:footnote>
  <w:footnote w:type="continuationSeparator" w:id="0">
    <w:p w:rsidR="00C5420A" w:rsidRDefault="00C5420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9B62AC">
      <w:rPr>
        <w:rFonts w:ascii="Arial" w:hAnsi="Arial" w:cs="Arial"/>
        <w:color w:val="000000"/>
        <w:sz w:val="22"/>
        <w:szCs w:val="18"/>
      </w:rPr>
      <w:t>Cinza Médio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62AC">
          <w:rPr>
            <w:noProof/>
          </w:rPr>
          <w:t>7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B62AC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5420A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F454-B54A-46DB-B22B-FAA651D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3319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2018-01-09T17:50:00Z</dcterms:modified>
</cp:coreProperties>
</file>