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A55776">
        <w:rPr>
          <w:rFonts w:ascii="Arial" w:hAnsi="Arial" w:cs="Arial"/>
          <w:color w:val="000000"/>
          <w:sz w:val="22"/>
          <w:szCs w:val="18"/>
        </w:rPr>
        <w:t>Creme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55776">
        <w:rPr>
          <w:rFonts w:ascii="Arial" w:hAnsi="Arial" w:cs="Arial"/>
          <w:sz w:val="20"/>
          <w:szCs w:val="20"/>
        </w:rPr>
        <w:t>Creme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4F" w:rsidRDefault="002F214F" w:rsidP="009F32CD">
      <w:r>
        <w:separator/>
      </w:r>
    </w:p>
  </w:endnote>
  <w:endnote w:type="continuationSeparator" w:id="0">
    <w:p w:rsidR="002F214F" w:rsidRDefault="002F214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4F" w:rsidRDefault="002F214F" w:rsidP="009F32CD">
      <w:r>
        <w:separator/>
      </w:r>
    </w:p>
  </w:footnote>
  <w:footnote w:type="continuationSeparator" w:id="0">
    <w:p w:rsidR="002F214F" w:rsidRDefault="002F214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A55776">
      <w:rPr>
        <w:rFonts w:ascii="Arial" w:hAnsi="Arial" w:cs="Arial"/>
        <w:color w:val="000000"/>
        <w:sz w:val="22"/>
        <w:szCs w:val="18"/>
      </w:rPr>
      <w:t>Creme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5776">
          <w:rPr>
            <w:noProof/>
          </w:rPr>
          <w:t>10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2F214F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55776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4C33-CA99-4619-9597-812BF525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2018-01-09T17:46:00Z</dcterms:modified>
</cp:coreProperties>
</file>